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2" w:rsidRDefault="00993372">
      <w:pPr>
        <w:pStyle w:val="normal0"/>
        <w:widowControl w:val="0"/>
      </w:pPr>
    </w:p>
    <w:tbl>
      <w:tblPr>
        <w:tblStyle w:val="a"/>
        <w:tblW w:w="9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20"/>
      </w:tblGrid>
      <w:tr w:rsidR="00993372">
        <w:trPr>
          <w:cantSplit/>
          <w:trHeight w:val="2560"/>
          <w:tblHeader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72" w:rsidRDefault="0007078E">
            <w:pPr>
              <w:pStyle w:val="normal0"/>
              <w:tabs>
                <w:tab w:val="right" w:pos="8838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918570" cy="107854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570" cy="1078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3372" w:rsidRDefault="0007078E">
            <w:pPr>
              <w:pStyle w:val="normal0"/>
              <w:tabs>
                <w:tab w:val="right" w:pos="8838"/>
              </w:tabs>
              <w:spacing w:line="240" w:lineRule="auto"/>
              <w:jc w:val="center"/>
            </w:pPr>
            <w:r>
              <w:t>Poder Judiciário</w:t>
            </w:r>
          </w:p>
          <w:p w:rsidR="00993372" w:rsidRDefault="0007078E">
            <w:pPr>
              <w:pStyle w:val="normal0"/>
              <w:tabs>
                <w:tab w:val="right" w:pos="8838"/>
              </w:tabs>
              <w:spacing w:line="240" w:lineRule="auto"/>
              <w:jc w:val="center"/>
            </w:pPr>
            <w:r>
              <w:t>Tribunal Regional do Trabalho da 16ª Região</w:t>
            </w:r>
          </w:p>
          <w:p w:rsidR="00993372" w:rsidRDefault="00993372">
            <w:pPr>
              <w:pStyle w:val="normal0"/>
              <w:tabs>
                <w:tab w:val="right" w:pos="8838"/>
              </w:tabs>
              <w:spacing w:line="240" w:lineRule="auto"/>
              <w:jc w:val="center"/>
            </w:pPr>
          </w:p>
        </w:tc>
      </w:tr>
    </w:tbl>
    <w:p w:rsidR="00993372" w:rsidRDefault="00993372">
      <w:pPr>
        <w:pStyle w:val="normal0"/>
        <w:widowControl w:val="0"/>
        <w:spacing w:line="240" w:lineRule="auto"/>
        <w:ind w:left="174"/>
      </w:pPr>
    </w:p>
    <w:p w:rsidR="00993372" w:rsidRDefault="0007078E">
      <w:pPr>
        <w:pStyle w:val="normal0"/>
        <w:widowControl w:val="0"/>
        <w:spacing w:line="240" w:lineRule="auto"/>
        <w:ind w:left="174"/>
        <w:jc w:val="center"/>
        <w:rPr>
          <w:b/>
        </w:rPr>
      </w:pPr>
      <w:r>
        <w:rPr>
          <w:b/>
        </w:rPr>
        <w:t>APOSENTADORIA VOLUNTÁRIA</w:t>
      </w:r>
    </w:p>
    <w:p w:rsidR="00993372" w:rsidRDefault="00993372">
      <w:pPr>
        <w:pStyle w:val="normal0"/>
        <w:widowControl w:val="0"/>
        <w:spacing w:before="336" w:line="240" w:lineRule="auto"/>
        <w:ind w:right="98"/>
        <w:jc w:val="right"/>
      </w:pPr>
    </w:p>
    <w:p w:rsidR="00993372" w:rsidRDefault="0007078E">
      <w:pPr>
        <w:pStyle w:val="normal0"/>
        <w:widowControl w:val="0"/>
        <w:spacing w:before="240" w:line="240" w:lineRule="auto"/>
        <w:jc w:val="both"/>
      </w:pPr>
      <w:r>
        <w:t xml:space="preserve">Tendo em vista haver </w:t>
      </w:r>
      <w:proofErr w:type="gramStart"/>
      <w:r>
        <w:t>implementado</w:t>
      </w:r>
      <w:proofErr w:type="gramEnd"/>
      <w:r>
        <w:t xml:space="preserve"> todos os requisitos, vem requerer aposentadoria voluntária com fundamento: </w:t>
      </w:r>
    </w:p>
    <w:p w:rsidR="00993372" w:rsidRDefault="0007078E">
      <w:pPr>
        <w:pStyle w:val="normal0"/>
        <w:widowControl w:val="0"/>
        <w:spacing w:before="240" w:after="280" w:line="236" w:lineRule="auto"/>
        <w:jc w:val="center"/>
      </w:pPr>
      <w:r>
        <w:t>REGRA DO DIREITO ADQUIRIDO</w:t>
      </w:r>
    </w:p>
    <w:p w:rsidR="00993372" w:rsidRDefault="0007078E">
      <w:pPr>
        <w:pStyle w:val="normal0"/>
        <w:widowControl w:val="0"/>
        <w:spacing w:before="240" w:after="280" w:line="236" w:lineRule="auto"/>
        <w:jc w:val="center"/>
      </w:pPr>
      <w:r>
        <w:t xml:space="preserve">(Para servidores que cumpriram todos os requisitos até 13/11/2019) 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 xml:space="preserve">) CF, art. 40, §1º, inciso III, alínea “a” (redação dada pelas EC </w:t>
      </w:r>
      <w:proofErr w:type="spellStart"/>
      <w:r>
        <w:t>nºs</w:t>
      </w:r>
      <w:proofErr w:type="spellEnd"/>
      <w:r>
        <w:t xml:space="preserve"> 20/1998 e 41/2003)</w:t>
      </w:r>
      <w:r>
        <w:tab/>
        <w:t>c/c art. 3º EC nº103/2019, pela média das contribuições (Lei nº 10.887/2004)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 xml:space="preserve">) CF, art. 40, §1º, inciso III, alínea “b” (redação dada pelas EC </w:t>
      </w:r>
      <w:proofErr w:type="spellStart"/>
      <w:r>
        <w:t>nºs</w:t>
      </w:r>
      <w:proofErr w:type="spellEnd"/>
      <w:r>
        <w:t xml:space="preserve"> 20/1998 e 41/2003)</w:t>
      </w:r>
      <w:r>
        <w:tab/>
        <w:t>c/c art. 3º EC nº103/2019, pela média das contribuições (Lei nº 10.887/2004)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>) Art. 2º da EC nº 41/2003 c/c EC art. 3º da EC nº103/2019, pela média das contribuições (Lei nº 10.887/2004), para os que ingressaram no serviço público até 16/12/1998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>) Art. 6º da EC nº 41/2003 c/c art. 3º da EC nº 103/2019, com Integralidade e Paridade, para os que ingressaram no serviço público até 31/12/2003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>) Art. 3º da EC nº 47/2005 c/c art. 3º da EC nº 103/2019, com Integralidade e Paridade, para os que ingressaram no serviço público até 16/12/1998</w:t>
      </w:r>
    </w:p>
    <w:p w:rsidR="00993372" w:rsidRDefault="0007078E">
      <w:pPr>
        <w:pStyle w:val="normal0"/>
        <w:widowControl w:val="0"/>
        <w:spacing w:before="240" w:after="280" w:line="236" w:lineRule="auto"/>
        <w:jc w:val="center"/>
      </w:pPr>
      <w:r>
        <w:t>REGRA DE TRANSIÇÃO</w:t>
      </w:r>
    </w:p>
    <w:p w:rsidR="00993372" w:rsidRDefault="0007078E">
      <w:pPr>
        <w:pStyle w:val="normal0"/>
        <w:widowControl w:val="0"/>
        <w:spacing w:before="240" w:after="280" w:line="236" w:lineRule="auto"/>
        <w:jc w:val="center"/>
      </w:pPr>
      <w:r>
        <w:t>(Para servidores que ingressaram no serviço público até 13/11/2019)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>) Art. 4º da EC nº 103/2019, com Integralidade e Paridade para os que ingressaram no serviço público até 31/12/2003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>) Art. 4º da EC nº 103/2019, pela média das contribuições (Lei nº 10.887/2004), para os que ingressaram no serviço público a partir de 01/01/2004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 xml:space="preserve">) Art. 20 da EC nº 103/2019, com Integralidade e Paridade para os que ingressaram no </w:t>
      </w:r>
      <w:proofErr w:type="gramStart"/>
      <w:r>
        <w:t>serviço</w:t>
      </w:r>
      <w:proofErr w:type="gramEnd"/>
      <w:r>
        <w:t xml:space="preserve"> público até 31/12/2003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lastRenderedPageBreak/>
        <w:t xml:space="preserve">(     </w:t>
      </w:r>
      <w:proofErr w:type="gramEnd"/>
      <w:r>
        <w:t>) Art. 20 da EC nº 103/2019, pela média das contribuições (Lei nº 10.887/2004) para os que ingressaram no serviço público a partir de 01/01/2004</w:t>
      </w:r>
    </w:p>
    <w:p w:rsidR="00993372" w:rsidRDefault="0007078E">
      <w:pPr>
        <w:pStyle w:val="normal0"/>
        <w:widowControl w:val="0"/>
        <w:spacing w:before="240" w:after="280" w:line="236" w:lineRule="auto"/>
        <w:jc w:val="center"/>
      </w:pPr>
      <w:r>
        <w:t>REGRA GERAL/PERMANENTE</w:t>
      </w:r>
    </w:p>
    <w:p w:rsidR="00993372" w:rsidRDefault="0007078E">
      <w:pPr>
        <w:pStyle w:val="normal0"/>
        <w:widowControl w:val="0"/>
        <w:spacing w:before="240" w:after="280" w:line="236" w:lineRule="auto"/>
        <w:jc w:val="center"/>
      </w:pPr>
      <w:r>
        <w:t>(Obrigatória para servidores que ingressaram no serviço público a partir de 14/11/2019 e os que fizeram a opção de que trata o art. 40, §16, CF)</w:t>
      </w:r>
    </w:p>
    <w:p w:rsidR="00993372" w:rsidRDefault="0007078E">
      <w:pPr>
        <w:pStyle w:val="normal0"/>
        <w:widowControl w:val="0"/>
        <w:spacing w:before="240" w:after="280" w:line="236" w:lineRule="auto"/>
      </w:pPr>
      <w:proofErr w:type="gramStart"/>
      <w:r>
        <w:t xml:space="preserve">(     </w:t>
      </w:r>
      <w:proofErr w:type="gramEnd"/>
      <w:r>
        <w:t>) Art. 40, §1º, inciso III da CF c/c art. 10, §1º, inciso I, alíneas “</w:t>
      </w:r>
      <w:r>
        <w:rPr>
          <w:i/>
        </w:rPr>
        <w:t>a”</w:t>
      </w:r>
      <w:r>
        <w:t xml:space="preserve"> e “</w:t>
      </w:r>
      <w:r>
        <w:rPr>
          <w:i/>
        </w:rPr>
        <w:t>b”</w:t>
      </w:r>
      <w:r>
        <w:t xml:space="preserve"> da EC nº 103/2019, pela média das contribuições (Lei nº 10.887/2004) e limitada ao teto do RGPS</w:t>
      </w:r>
    </w:p>
    <w:p w:rsidR="00993372" w:rsidRDefault="0007078E">
      <w:pPr>
        <w:pStyle w:val="normal0"/>
        <w:widowControl w:val="0"/>
        <w:spacing w:before="240" w:after="280" w:line="236" w:lineRule="auto"/>
      </w:pPr>
      <w:r>
        <w:t>Em</w:t>
      </w:r>
    </w:p>
    <w:p w:rsidR="00993372" w:rsidRDefault="00993372">
      <w:pPr>
        <w:pStyle w:val="normal0"/>
        <w:widowControl w:val="0"/>
        <w:spacing w:before="240" w:after="280" w:line="236" w:lineRule="auto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  <w:r>
        <w:pict>
          <v:rect id="_x0000_i1025" style="width:0;height:1.5pt" o:hralign="center" o:hrstd="t" o:hr="t" fillcolor="#a0a0a0" stroked="f"/>
        </w:pict>
      </w:r>
    </w:p>
    <w:p w:rsidR="00993372" w:rsidRDefault="0007078E">
      <w:pPr>
        <w:pStyle w:val="normal0"/>
        <w:widowControl w:val="0"/>
        <w:spacing w:before="259" w:line="236" w:lineRule="auto"/>
        <w:ind w:left="173" w:right="850" w:hanging="24"/>
      </w:pPr>
      <w:r>
        <w:t>Orientações:</w:t>
      </w:r>
    </w:p>
    <w:p w:rsidR="00993372" w:rsidRDefault="0007078E">
      <w:pPr>
        <w:pStyle w:val="normal0"/>
        <w:widowControl w:val="0"/>
        <w:numPr>
          <w:ilvl w:val="0"/>
          <w:numId w:val="1"/>
        </w:numPr>
        <w:spacing w:before="259" w:line="236" w:lineRule="auto"/>
        <w:ind w:right="850"/>
      </w:pPr>
      <w:r>
        <w:t>Deve ir para Secretaria de Gestão de Pessoas;</w:t>
      </w:r>
    </w:p>
    <w:p w:rsidR="00993372" w:rsidRDefault="0007078E">
      <w:pPr>
        <w:pStyle w:val="normal0"/>
        <w:widowControl w:val="0"/>
        <w:numPr>
          <w:ilvl w:val="0"/>
          <w:numId w:val="1"/>
        </w:numPr>
        <w:spacing w:line="236" w:lineRule="auto"/>
        <w:ind w:right="850"/>
      </w:pPr>
      <w:r>
        <w:t>Deve ter assinatura ou ciência do gestor da Unidade de lotação;</w:t>
      </w:r>
    </w:p>
    <w:p w:rsidR="00993372" w:rsidRDefault="0007078E">
      <w:pPr>
        <w:pStyle w:val="normal0"/>
        <w:widowControl w:val="0"/>
        <w:numPr>
          <w:ilvl w:val="0"/>
          <w:numId w:val="1"/>
        </w:numPr>
        <w:spacing w:line="236" w:lineRule="auto"/>
        <w:ind w:right="850"/>
      </w:pPr>
      <w:r>
        <w:t xml:space="preserve">Anexar os documentos em </w:t>
      </w:r>
      <w:proofErr w:type="spellStart"/>
      <w:r>
        <w:t>pdf</w:t>
      </w:r>
      <w:proofErr w:type="spellEnd"/>
      <w:r>
        <w:t>:</w:t>
      </w:r>
    </w:p>
    <w:p w:rsidR="00993372" w:rsidRDefault="0007078E">
      <w:pPr>
        <w:pStyle w:val="normal0"/>
        <w:widowControl w:val="0"/>
        <w:spacing w:before="240" w:after="280" w:line="236" w:lineRule="auto"/>
        <w:ind w:left="720"/>
        <w:jc w:val="both"/>
      </w:pPr>
      <w:r>
        <w:t>a) Declaração sobre acumulação ou não de cargos e/ou proventos;</w:t>
      </w:r>
    </w:p>
    <w:p w:rsidR="00993372" w:rsidRDefault="0007078E">
      <w:pPr>
        <w:pStyle w:val="normal0"/>
        <w:widowControl w:val="0"/>
        <w:spacing w:before="240" w:after="280" w:line="236" w:lineRule="auto"/>
        <w:ind w:left="720"/>
        <w:jc w:val="both"/>
      </w:pPr>
      <w:r>
        <w:t>b) RG/CPF;</w:t>
      </w:r>
    </w:p>
    <w:p w:rsidR="00993372" w:rsidRDefault="0007078E">
      <w:pPr>
        <w:pStyle w:val="normal0"/>
        <w:widowControl w:val="0"/>
        <w:spacing w:before="240" w:after="280" w:line="236" w:lineRule="auto"/>
        <w:ind w:left="720"/>
        <w:jc w:val="both"/>
      </w:pPr>
      <w:r>
        <w:t>c) Declaração de bens atualizada;</w:t>
      </w:r>
    </w:p>
    <w:p w:rsidR="00993372" w:rsidRDefault="0007078E">
      <w:pPr>
        <w:pStyle w:val="normal0"/>
        <w:widowControl w:val="0"/>
        <w:spacing w:before="240" w:after="280" w:line="236" w:lineRule="auto"/>
        <w:ind w:left="720"/>
        <w:jc w:val="both"/>
      </w:pPr>
      <w:r>
        <w:t>d) Nada Consta do Setor de Gestão Documental e Memória (Biblioteca);</w:t>
      </w:r>
    </w:p>
    <w:p w:rsidR="00993372" w:rsidRDefault="0007078E">
      <w:pPr>
        <w:pStyle w:val="normal0"/>
        <w:widowControl w:val="0"/>
        <w:spacing w:before="240" w:after="280" w:line="236" w:lineRule="auto"/>
        <w:ind w:left="720"/>
        <w:jc w:val="both"/>
      </w:pPr>
      <w:r>
        <w:t>e) Certidão negativa e/ou positiva de débitos relativos a créditos tributários federais e à dívida ativa da União;</w:t>
      </w:r>
    </w:p>
    <w:p w:rsidR="00993372" w:rsidRDefault="0007078E">
      <w:pPr>
        <w:pStyle w:val="normal0"/>
        <w:widowControl w:val="0"/>
        <w:spacing w:before="240" w:after="280" w:line="236" w:lineRule="auto"/>
        <w:ind w:left="720"/>
        <w:jc w:val="both"/>
      </w:pPr>
      <w:r>
        <w:t>f) Formulário de desligamento preenchido, previsto no Anexo II da Resolução CSJT nº 222/2018.</w:t>
      </w: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p w:rsidR="00993372" w:rsidRDefault="00993372">
      <w:pPr>
        <w:pStyle w:val="normal0"/>
        <w:widowControl w:val="0"/>
        <w:spacing w:before="259" w:line="236" w:lineRule="auto"/>
        <w:ind w:left="173" w:right="850" w:hanging="24"/>
      </w:pPr>
    </w:p>
    <w:sectPr w:rsidR="00993372" w:rsidSect="009933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984"/>
    <w:multiLevelType w:val="multilevel"/>
    <w:tmpl w:val="4ADC5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93372"/>
    <w:rsid w:val="0007078E"/>
    <w:rsid w:val="00331559"/>
    <w:rsid w:val="0099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933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933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933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933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9337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933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93372"/>
  </w:style>
  <w:style w:type="table" w:customStyle="1" w:styleId="TableNormal">
    <w:name w:val="Table Normal"/>
    <w:rsid w:val="009933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9337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99337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933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1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Moraes Pacheco</dc:creator>
  <cp:lastModifiedBy>elaine.pacheco</cp:lastModifiedBy>
  <cp:revision>3</cp:revision>
  <dcterms:created xsi:type="dcterms:W3CDTF">2024-01-03T17:17:00Z</dcterms:created>
  <dcterms:modified xsi:type="dcterms:W3CDTF">2024-01-03T17:28:00Z</dcterms:modified>
</cp:coreProperties>
</file>